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B4ACE" w14:textId="77777777" w:rsidR="002E1BBA" w:rsidRDefault="002E1BBA" w:rsidP="002E1BBA">
      <w:pPr>
        <w:shd w:val="clear" w:color="auto" w:fill="FFFFFF"/>
        <w:spacing w:after="0" w:line="240" w:lineRule="auto"/>
        <w:rPr>
          <w:rFonts w:ascii="Arial Nova" w:eastAsia="Times New Roman" w:hAnsi="Arial Nova" w:cs="Times New Roman"/>
          <w:b/>
          <w:bCs/>
          <w:color w:val="000000"/>
          <w:kern w:val="0"/>
          <w:bdr w:val="none" w:sz="0" w:space="0" w:color="auto" w:frame="1"/>
          <w:lang w:eastAsia="fr-BE"/>
          <w14:ligatures w14:val="none"/>
        </w:rPr>
      </w:pPr>
      <w:r w:rsidRPr="002E1BBA">
        <w:rPr>
          <w:rFonts w:ascii="Arial Nova" w:eastAsia="Times New Roman" w:hAnsi="Arial Nova" w:cs="Times New Roman"/>
          <w:b/>
          <w:bCs/>
          <w:color w:val="000000"/>
          <w:kern w:val="0"/>
          <w:bdr w:val="none" w:sz="0" w:space="0" w:color="auto" w:frame="1"/>
          <w:lang w:eastAsia="fr-BE"/>
          <w14:ligatures w14:val="none"/>
        </w:rPr>
        <w:t>La taxation de l’avantage de toute nature (ATN) découlant de la mise à disposition gratuite d’un logement (presbytère ou autre logement)</w:t>
      </w:r>
    </w:p>
    <w:p w14:paraId="233649F9" w14:textId="77777777" w:rsidR="00422B7D" w:rsidRPr="002E1BBA" w:rsidRDefault="00422B7D" w:rsidP="002E1BBA">
      <w:pPr>
        <w:shd w:val="clear" w:color="auto" w:fill="FFFFFF"/>
        <w:spacing w:after="0" w:line="240" w:lineRule="auto"/>
        <w:rPr>
          <w:rFonts w:ascii="Arial Nova" w:eastAsia="Times New Roman" w:hAnsi="Arial Nova" w:cs="Times New Roman"/>
          <w:color w:val="000000"/>
          <w:kern w:val="0"/>
          <w:lang w:eastAsia="fr-BE"/>
          <w14:ligatures w14:val="none"/>
        </w:rPr>
      </w:pPr>
    </w:p>
    <w:p w14:paraId="75E1AC6E" w14:textId="6B90B4F0" w:rsidR="002E1BBA" w:rsidRPr="002E1BBA" w:rsidRDefault="002E1BBA" w:rsidP="002E1BBA">
      <w:pPr>
        <w:shd w:val="clear" w:color="auto" w:fill="FFFFFF"/>
        <w:spacing w:after="0" w:line="240" w:lineRule="auto"/>
        <w:rPr>
          <w:rFonts w:ascii="Arial Nova" w:eastAsia="Times New Roman" w:hAnsi="Arial Nova" w:cs="Times New Roman"/>
          <w:color w:val="000000"/>
          <w:kern w:val="0"/>
          <w:lang w:eastAsia="fr-BE"/>
          <w14:ligatures w14:val="none"/>
        </w:rPr>
      </w:pPr>
      <w:r w:rsidRPr="002E1BBA">
        <w:rPr>
          <w:rFonts w:ascii="Arial Nova" w:eastAsia="Times New Roman" w:hAnsi="Arial Nova" w:cs="Times New Roman"/>
          <w:b/>
          <w:bCs/>
          <w:color w:val="000000"/>
          <w:kern w:val="0"/>
          <w:bdr w:val="none" w:sz="0" w:space="0" w:color="auto" w:frame="1"/>
          <w:lang w:eastAsia="fr-BE"/>
          <w14:ligatures w14:val="none"/>
        </w:rPr>
        <w:t>Coefficient pour la déclaration de 2026 :</w:t>
      </w:r>
      <w:r w:rsidR="00422B7D" w:rsidRPr="00422B7D">
        <w:t xml:space="preserve"> </w:t>
      </w:r>
      <w:r w:rsidR="00422B7D" w:rsidRPr="00422B7D">
        <w:rPr>
          <w:rFonts w:ascii="Arial Nova" w:eastAsia="Times New Roman" w:hAnsi="Arial Nova" w:cs="Times New Roman"/>
          <w:b/>
          <w:bCs/>
          <w:color w:val="000000"/>
          <w:kern w:val="0"/>
          <w:bdr w:val="none" w:sz="0" w:space="0" w:color="auto" w:frame="1"/>
          <w:lang w:eastAsia="fr-BE"/>
          <w14:ligatures w14:val="none"/>
        </w:rPr>
        <w:t>2,2446</w:t>
      </w:r>
    </w:p>
    <w:p w14:paraId="6DA0F1DE" w14:textId="77777777" w:rsidR="002E1BBA" w:rsidRPr="002E1BBA" w:rsidRDefault="002E1BBA" w:rsidP="002E1BBA">
      <w:pPr>
        <w:shd w:val="clear" w:color="auto" w:fill="FFFFFF"/>
        <w:spacing w:after="0" w:line="240" w:lineRule="auto"/>
        <w:rPr>
          <w:rFonts w:ascii="Arial Nova" w:eastAsia="Times New Roman" w:hAnsi="Arial Nova" w:cs="Times New Roman"/>
          <w:color w:val="000000"/>
          <w:kern w:val="0"/>
          <w:lang w:eastAsia="fr-BE"/>
          <w14:ligatures w14:val="none"/>
        </w:rPr>
      </w:pPr>
      <w:r w:rsidRPr="002E1BBA">
        <w:rPr>
          <w:rFonts w:ascii="Arial Nova" w:eastAsia="Times New Roman" w:hAnsi="Arial Nova" w:cs="Times New Roman"/>
          <w:color w:val="000000"/>
          <w:kern w:val="0"/>
          <w:bdr w:val="none" w:sz="0" w:space="0" w:color="auto" w:frame="1"/>
          <w:lang w:eastAsia="fr-BE"/>
          <w14:ligatures w14:val="none"/>
        </w:rPr>
        <w:br/>
      </w:r>
    </w:p>
    <w:p w14:paraId="526BBFDE" w14:textId="77777777" w:rsidR="002E1BBA" w:rsidRPr="002E1BBA" w:rsidRDefault="002E1BBA" w:rsidP="002E1BBA">
      <w:pPr>
        <w:shd w:val="clear" w:color="auto" w:fill="FFFFFF"/>
        <w:spacing w:after="0" w:line="240" w:lineRule="auto"/>
        <w:rPr>
          <w:rFonts w:ascii="Arial Nova" w:eastAsia="Times New Roman" w:hAnsi="Arial Nova" w:cs="Times New Roman"/>
          <w:color w:val="000000"/>
          <w:kern w:val="0"/>
          <w:lang w:eastAsia="fr-BE"/>
          <w14:ligatures w14:val="none"/>
        </w:rPr>
      </w:pPr>
      <w:r w:rsidRPr="002E1BBA">
        <w:rPr>
          <w:rFonts w:ascii="Arial Nova" w:eastAsia="Times New Roman" w:hAnsi="Arial Nova" w:cs="Times New Roman"/>
          <w:color w:val="000000"/>
          <w:kern w:val="0"/>
          <w:bdr w:val="none" w:sz="0" w:space="0" w:color="auto" w:frame="1"/>
          <w:lang w:eastAsia="fr-BE"/>
          <w14:ligatures w14:val="none"/>
        </w:rPr>
        <w:t> </w:t>
      </w:r>
    </w:p>
    <w:p w14:paraId="0AAC88FC" w14:textId="77777777" w:rsidR="002E1BBA" w:rsidRPr="002E1BBA" w:rsidRDefault="002E1BBA" w:rsidP="002E1BBA">
      <w:pPr>
        <w:shd w:val="clear" w:color="auto" w:fill="FFFFFF"/>
        <w:spacing w:after="0" w:line="240" w:lineRule="auto"/>
        <w:rPr>
          <w:rFonts w:ascii="Arial Nova" w:eastAsia="Times New Roman" w:hAnsi="Arial Nova" w:cs="Times New Roman"/>
          <w:color w:val="000000"/>
          <w:kern w:val="0"/>
          <w:lang w:eastAsia="fr-BE"/>
          <w14:ligatures w14:val="none"/>
        </w:rPr>
      </w:pPr>
      <w:r w:rsidRPr="002E1BBA">
        <w:rPr>
          <w:rFonts w:ascii="Arial Nova" w:eastAsia="Times New Roman" w:hAnsi="Arial Nova" w:cs="Times New Roman"/>
          <w:color w:val="000000"/>
          <w:kern w:val="0"/>
          <w:bdr w:val="none" w:sz="0" w:space="0" w:color="auto" w:frame="1"/>
          <w:lang w:eastAsia="fr-BE"/>
          <w14:ligatures w14:val="none"/>
        </w:rPr>
        <w:t>Comme chaque année à cette époque, voici les informations relatives à votre déclaration fiscale et plus précisément, le calcul de l’ATN.</w:t>
      </w:r>
    </w:p>
    <w:p w14:paraId="180FDD27" w14:textId="1D9C1919" w:rsidR="002E1BBA" w:rsidRPr="002E1BBA" w:rsidRDefault="00422B7D" w:rsidP="002E1BBA">
      <w:pPr>
        <w:shd w:val="clear" w:color="auto" w:fill="FFFFFF"/>
        <w:spacing w:after="0" w:line="240" w:lineRule="auto"/>
        <w:rPr>
          <w:rFonts w:ascii="Arial Nova" w:eastAsia="Times New Roman" w:hAnsi="Arial Nova" w:cs="Times New Roman"/>
          <w:color w:val="000000"/>
          <w:kern w:val="0"/>
          <w:lang w:eastAsia="fr-BE"/>
          <w14:ligatures w14:val="none"/>
        </w:rPr>
      </w:pPr>
      <w:r w:rsidRPr="002E1BBA">
        <w:rPr>
          <w:rFonts w:ascii="Arial Nova" w:eastAsia="Times New Roman" w:hAnsi="Arial Nova" w:cs="Times New Roman"/>
          <w:color w:val="000000"/>
          <w:kern w:val="0"/>
          <w:bdr w:val="none" w:sz="0" w:space="0" w:color="auto" w:frame="1"/>
          <w:lang w:eastAsia="fr-BE"/>
          <w14:ligatures w14:val="none"/>
        </w:rPr>
        <w:t>Néanmoins, nous</w:t>
      </w:r>
      <w:r w:rsidR="002E1BBA" w:rsidRPr="002E1BBA">
        <w:rPr>
          <w:rFonts w:ascii="Arial Nova" w:eastAsia="Times New Roman" w:hAnsi="Arial Nova" w:cs="Times New Roman"/>
          <w:color w:val="000000"/>
          <w:kern w:val="0"/>
          <w:bdr w:val="none" w:sz="0" w:space="0" w:color="auto" w:frame="1"/>
          <w:lang w:eastAsia="fr-BE"/>
          <w14:ligatures w14:val="none"/>
        </w:rPr>
        <w:t xml:space="preserve"> vous invitons à le compléter (il est en annexe) vous-même.  Voici quelques explications avec un exemple :</w:t>
      </w:r>
    </w:p>
    <w:p w14:paraId="33A3DE16" w14:textId="77777777" w:rsidR="002E1BBA" w:rsidRPr="002E1BBA" w:rsidRDefault="002E1BBA" w:rsidP="002E1BBA">
      <w:pPr>
        <w:shd w:val="clear" w:color="auto" w:fill="FFFFFF"/>
        <w:spacing w:after="0" w:line="240" w:lineRule="auto"/>
        <w:rPr>
          <w:rFonts w:ascii="Arial Nova" w:eastAsia="Times New Roman" w:hAnsi="Arial Nova" w:cs="Times New Roman"/>
          <w:color w:val="000000"/>
          <w:kern w:val="0"/>
          <w:lang w:eastAsia="fr-BE"/>
          <w14:ligatures w14:val="none"/>
        </w:rPr>
      </w:pPr>
      <w:r w:rsidRPr="002E1BBA">
        <w:rPr>
          <w:rFonts w:ascii="Arial Nova" w:eastAsia="Times New Roman" w:hAnsi="Arial Nova" w:cs="Times New Roman"/>
          <w:color w:val="000000"/>
          <w:kern w:val="0"/>
          <w:bdr w:val="none" w:sz="0" w:space="0" w:color="auto" w:frame="1"/>
          <w:lang w:eastAsia="fr-BE"/>
          <w14:ligatures w14:val="none"/>
        </w:rPr>
        <w:br/>
      </w:r>
    </w:p>
    <w:p w14:paraId="308BBF52"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En jaune : les montants que vous devez indiquer dans le tableau Excel en annexe :</w:t>
      </w:r>
    </w:p>
    <w:p w14:paraId="7C3771A5" w14:textId="77777777" w:rsidR="002E1BBA" w:rsidRPr="002E1BBA" w:rsidRDefault="002E1BBA" w:rsidP="002E1BBA">
      <w:pPr>
        <w:numPr>
          <w:ilvl w:val="0"/>
          <w:numId w:val="1"/>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 xml:space="preserve">Le revenu cadastral de base : voir le montant qui était repris l’année passée pour autant que vous avez occupé votre logement toute l’année </w:t>
      </w:r>
      <w:proofErr w:type="gramStart"/>
      <w:r w:rsidRPr="002E1BBA">
        <w:rPr>
          <w:rFonts w:ascii="Arial Nova" w:eastAsia="Times New Roman" w:hAnsi="Arial Nova" w:cs="Segoe UI"/>
          <w:color w:val="242424"/>
          <w:kern w:val="0"/>
          <w:sz w:val="22"/>
          <w:szCs w:val="22"/>
          <w:lang w:eastAsia="fr-BE"/>
          <w14:ligatures w14:val="none"/>
        </w:rPr>
        <w:t>2025;</w:t>
      </w:r>
      <w:proofErr w:type="gramEnd"/>
    </w:p>
    <w:p w14:paraId="760FC45E" w14:textId="77777777" w:rsidR="002E1BBA" w:rsidRPr="002E1BBA" w:rsidRDefault="002E1BBA" w:rsidP="002E1BBA">
      <w:pPr>
        <w:numPr>
          <w:ilvl w:val="0"/>
          <w:numId w:val="1"/>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 xml:space="preserve">La partie privative : voir le montant qui était repris l’année passée pour autant que vous avez occupé votre logement toute l’année </w:t>
      </w:r>
      <w:proofErr w:type="gramStart"/>
      <w:r w:rsidRPr="002E1BBA">
        <w:rPr>
          <w:rFonts w:ascii="Arial Nova" w:eastAsia="Times New Roman" w:hAnsi="Arial Nova" w:cs="Segoe UI"/>
          <w:color w:val="242424"/>
          <w:kern w:val="0"/>
          <w:sz w:val="22"/>
          <w:szCs w:val="22"/>
          <w:lang w:eastAsia="fr-BE"/>
          <w14:ligatures w14:val="none"/>
        </w:rPr>
        <w:t>2025;</w:t>
      </w:r>
      <w:proofErr w:type="gramEnd"/>
    </w:p>
    <w:p w14:paraId="55ED4D0C" w14:textId="77777777" w:rsidR="002E1BBA" w:rsidRPr="002E1BBA" w:rsidRDefault="002E1BBA" w:rsidP="002E1BBA">
      <w:pPr>
        <w:numPr>
          <w:ilvl w:val="0"/>
          <w:numId w:val="1"/>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 xml:space="preserve">Le RC arrondi : reprendre le montant calculé « RC indexé » en l’arrondissant à l’unité inférieure </w:t>
      </w:r>
      <w:proofErr w:type="gramStart"/>
      <w:r w:rsidRPr="002E1BBA">
        <w:rPr>
          <w:rFonts w:ascii="Arial Nova" w:eastAsia="Times New Roman" w:hAnsi="Arial Nova" w:cs="Segoe UI"/>
          <w:color w:val="242424"/>
          <w:kern w:val="0"/>
          <w:sz w:val="22"/>
          <w:szCs w:val="22"/>
          <w:lang w:eastAsia="fr-BE"/>
          <w14:ligatures w14:val="none"/>
        </w:rPr>
        <w:t>si il</w:t>
      </w:r>
      <w:proofErr w:type="gramEnd"/>
      <w:r w:rsidRPr="002E1BBA">
        <w:rPr>
          <w:rFonts w:ascii="Arial Nova" w:eastAsia="Times New Roman" w:hAnsi="Arial Nova" w:cs="Segoe UI"/>
          <w:color w:val="242424"/>
          <w:kern w:val="0"/>
          <w:sz w:val="22"/>
          <w:szCs w:val="22"/>
          <w:lang w:eastAsia="fr-BE"/>
          <w14:ligatures w14:val="none"/>
        </w:rPr>
        <w:t xml:space="preserve"> est plus petit ou égale à 0,50 et à la l’unité supérieure </w:t>
      </w:r>
      <w:proofErr w:type="gramStart"/>
      <w:r w:rsidRPr="002E1BBA">
        <w:rPr>
          <w:rFonts w:ascii="Arial Nova" w:eastAsia="Times New Roman" w:hAnsi="Arial Nova" w:cs="Segoe UI"/>
          <w:color w:val="242424"/>
          <w:kern w:val="0"/>
          <w:sz w:val="22"/>
          <w:szCs w:val="22"/>
          <w:lang w:eastAsia="fr-BE"/>
          <w14:ligatures w14:val="none"/>
        </w:rPr>
        <w:t>si il</w:t>
      </w:r>
      <w:proofErr w:type="gramEnd"/>
      <w:r w:rsidRPr="002E1BBA">
        <w:rPr>
          <w:rFonts w:ascii="Arial Nova" w:eastAsia="Times New Roman" w:hAnsi="Arial Nova" w:cs="Segoe UI"/>
          <w:color w:val="242424"/>
          <w:kern w:val="0"/>
          <w:sz w:val="22"/>
          <w:szCs w:val="22"/>
          <w:lang w:eastAsia="fr-BE"/>
          <w14:ligatures w14:val="none"/>
        </w:rPr>
        <w:t xml:space="preserve"> est plus grand que 0.50;</w:t>
      </w:r>
    </w:p>
    <w:p w14:paraId="0BB1ABCA"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Les calculs se font automatiquement (n’inscrire quelque chose que dans les cases jaunes).</w:t>
      </w:r>
    </w:p>
    <w:p w14:paraId="3A182379"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br/>
      </w:r>
    </w:p>
    <w:p w14:paraId="4B15B08C" w14:textId="77777777" w:rsidR="002E1BBA" w:rsidRPr="002E1BBA" w:rsidRDefault="002E1BBA" w:rsidP="002E1BBA">
      <w:pPr>
        <w:numPr>
          <w:ilvl w:val="0"/>
          <w:numId w:val="2"/>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Le montant repris dans la dernière case doit être rapporté dans votre déclaration fiscale.</w:t>
      </w:r>
    </w:p>
    <w:p w14:paraId="1A22D1AA" w14:textId="77777777" w:rsidR="002E1BBA" w:rsidRPr="002E1BBA" w:rsidRDefault="002E1BBA" w:rsidP="002E1BBA">
      <w:pPr>
        <w:shd w:val="clear" w:color="auto" w:fill="FFFFFF"/>
        <w:spacing w:after="0" w:line="240" w:lineRule="auto"/>
        <w:ind w:left="720"/>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i/>
          <w:iCs/>
          <w:color w:val="242424"/>
          <w:kern w:val="0"/>
          <w:sz w:val="23"/>
          <w:szCs w:val="23"/>
          <w:bdr w:val="none" w:sz="0" w:space="0" w:color="auto" w:frame="1"/>
          <w:lang w:eastAsia="fr-BE"/>
          <w14:ligatures w14:val="none"/>
        </w:rPr>
        <w:t>Au Cadre IV – A. Rémunérations ordinaires 1. Traitements, salaires, etc. (autres que visés sous 13, a et 14, a) : rubrique 250</w:t>
      </w:r>
    </w:p>
    <w:p w14:paraId="44D22253" w14:textId="77777777" w:rsidR="002E1BBA" w:rsidRPr="002E1BBA" w:rsidRDefault="002E1BBA" w:rsidP="002E1BBA">
      <w:pPr>
        <w:shd w:val="clear" w:color="auto" w:fill="FFFFFF"/>
        <w:spacing w:after="0" w:line="240" w:lineRule="auto"/>
        <w:ind w:left="720"/>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i/>
          <w:iCs/>
          <w:color w:val="242424"/>
          <w:kern w:val="0"/>
          <w:sz w:val="23"/>
          <w:szCs w:val="23"/>
          <w:bdr w:val="none" w:sz="0" w:space="0" w:color="auto" w:frame="1"/>
          <w:lang w:eastAsia="fr-BE"/>
          <w14:ligatures w14:val="none"/>
        </w:rPr>
        <w:t>b) qui ne figurent pas sur une fiche 281.10 : </w:t>
      </w:r>
      <w:r w:rsidRPr="002E1BBA">
        <w:rPr>
          <w:rFonts w:ascii="Arial Nova" w:eastAsia="Times New Roman" w:hAnsi="Arial Nova" w:cs="Segoe UI"/>
          <w:i/>
          <w:iCs/>
          <w:color w:val="242424"/>
          <w:kern w:val="0"/>
          <w:sz w:val="23"/>
          <w:szCs w:val="23"/>
          <w:bdr w:val="none" w:sz="0" w:space="0" w:color="auto" w:frame="1"/>
          <w:shd w:val="clear" w:color="auto" w:fill="00FF00"/>
          <w:lang w:eastAsia="fr-BE"/>
          <w14:ligatures w14:val="none"/>
        </w:rPr>
        <w:t>...........................</w:t>
      </w:r>
    </w:p>
    <w:p w14:paraId="4C7BB380" w14:textId="77777777" w:rsidR="002E1BBA" w:rsidRPr="002E1BBA" w:rsidRDefault="002E1BBA" w:rsidP="002E1BBA">
      <w:pPr>
        <w:numPr>
          <w:ilvl w:val="0"/>
          <w:numId w:val="3"/>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N’oubliez pas de sommer les totaux des rubriques :</w:t>
      </w:r>
    </w:p>
    <w:p w14:paraId="40A21E2D" w14:textId="77777777" w:rsidR="002E1BBA" w:rsidRPr="002E1BBA" w:rsidRDefault="002E1BBA" w:rsidP="002E1BBA">
      <w:pPr>
        <w:shd w:val="clear" w:color="auto" w:fill="FFFFFF"/>
        <w:spacing w:after="0" w:line="240" w:lineRule="auto"/>
        <w:ind w:left="720"/>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i/>
          <w:iCs/>
          <w:color w:val="242424"/>
          <w:kern w:val="0"/>
          <w:sz w:val="23"/>
          <w:szCs w:val="23"/>
          <w:bdr w:val="none" w:sz="0" w:space="0" w:color="auto" w:frame="1"/>
          <w:lang w:eastAsia="fr-BE"/>
          <w14:ligatures w14:val="none"/>
        </w:rPr>
        <w:t>2. Total des rubriques 1, a et 1, b : 1250-11 </w:t>
      </w:r>
      <w:r w:rsidRPr="002E1BBA">
        <w:rPr>
          <w:rFonts w:ascii="Arial Nova" w:eastAsia="Times New Roman" w:hAnsi="Arial Nova" w:cs="Segoe UI"/>
          <w:i/>
          <w:iCs/>
          <w:color w:val="242424"/>
          <w:kern w:val="0"/>
          <w:sz w:val="23"/>
          <w:szCs w:val="23"/>
          <w:bdr w:val="none" w:sz="0" w:space="0" w:color="auto" w:frame="1"/>
          <w:shd w:val="clear" w:color="auto" w:fill="00FF00"/>
          <w:lang w:eastAsia="fr-BE"/>
          <w14:ligatures w14:val="none"/>
        </w:rPr>
        <w:t>...........................</w:t>
      </w:r>
    </w:p>
    <w:p w14:paraId="266C74AC" w14:textId="77777777" w:rsidR="002E1BBA" w:rsidRPr="002E1BBA" w:rsidRDefault="002E1BBA" w:rsidP="002E1BBA">
      <w:pPr>
        <w:shd w:val="clear" w:color="auto" w:fill="FFFFFF"/>
        <w:spacing w:after="0" w:line="240" w:lineRule="auto"/>
        <w:ind w:firstLine="708"/>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7B0E8872" w14:textId="087B85C3"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p>
    <w:p w14:paraId="779568C9" w14:textId="05C74DBB"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Attention : pour les prêtres qui n’ont pas occupé le même presbytère toute l’année 2025, il faut m’envoyer un mail.</w:t>
      </w:r>
    </w:p>
    <w:p w14:paraId="39E1CC19"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265FB646" w14:textId="77777777" w:rsidR="002E1BBA" w:rsidRPr="002E1BBA" w:rsidRDefault="002E1BBA" w:rsidP="002E1BBA">
      <w:pPr>
        <w:shd w:val="clear" w:color="auto" w:fill="FFFFFF"/>
        <w:spacing w:after="0" w:line="240" w:lineRule="auto"/>
        <w:jc w:val="both"/>
        <w:textAlignment w:val="baseline"/>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Pour rappel,</w:t>
      </w:r>
    </w:p>
    <w:p w14:paraId="40E05114"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78934833" w14:textId="77777777" w:rsidR="002E1BBA" w:rsidRPr="002E1BBA" w:rsidRDefault="002E1BBA" w:rsidP="002E1BBA">
      <w:pPr>
        <w:numPr>
          <w:ilvl w:val="0"/>
          <w:numId w:val="4"/>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b/>
          <w:bCs/>
          <w:color w:val="242424"/>
          <w:kern w:val="0"/>
          <w:sz w:val="22"/>
          <w:szCs w:val="22"/>
          <w:lang w:eastAsia="fr-BE"/>
          <w14:ligatures w14:val="none"/>
        </w:rPr>
        <w:t>Principe général.</w:t>
      </w:r>
    </w:p>
    <w:p w14:paraId="4545C7DC"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21111C2A" w14:textId="77777777" w:rsidR="002E1BBA" w:rsidRPr="002E1BBA" w:rsidRDefault="002E1BBA" w:rsidP="002E1BBA">
      <w:pPr>
        <w:numPr>
          <w:ilvl w:val="0"/>
          <w:numId w:val="5"/>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L’occupation d’un presbytère (ou d’un autre logement ou l’indemnité de logement) est taxable selon le principe d’un avantage en toute nature.</w:t>
      </w:r>
    </w:p>
    <w:p w14:paraId="2872378C" w14:textId="77777777" w:rsidR="002E1BBA" w:rsidRPr="002E1BBA" w:rsidRDefault="002E1BBA" w:rsidP="002E1BBA">
      <w:pPr>
        <w:numPr>
          <w:ilvl w:val="0"/>
          <w:numId w:val="5"/>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Ce montant doit être déclaré spontanément par le bénéficiaire (code 1250 de la déclaration).</w:t>
      </w:r>
    </w:p>
    <w:p w14:paraId="40C9C9DB"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1851A1CA" w14:textId="77777777" w:rsidR="002E1BBA" w:rsidRPr="002E1BBA" w:rsidRDefault="002E1BBA" w:rsidP="002E1BBA">
      <w:pPr>
        <w:numPr>
          <w:ilvl w:val="0"/>
          <w:numId w:val="6"/>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b/>
          <w:bCs/>
          <w:color w:val="242424"/>
          <w:kern w:val="0"/>
          <w:sz w:val="22"/>
          <w:szCs w:val="22"/>
          <w:lang w:eastAsia="fr-BE"/>
          <w14:ligatures w14:val="none"/>
        </w:rPr>
        <w:t>Que faut-il déclarer ?</w:t>
      </w:r>
    </w:p>
    <w:p w14:paraId="0EB883F3" w14:textId="77777777" w:rsidR="002E1BBA" w:rsidRPr="002E1BBA" w:rsidRDefault="002E1BBA" w:rsidP="002E1BBA">
      <w:pPr>
        <w:shd w:val="clear" w:color="auto" w:fill="FFFFFF"/>
        <w:spacing w:after="0" w:line="240" w:lineRule="auto"/>
        <w:ind w:left="720"/>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57AAB248"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L’indemnité de logement ou la valeur de l’avantage de toute nature résultant de la disposition gratuite d’une maison.</w:t>
      </w:r>
    </w:p>
    <w:p w14:paraId="4A86460D"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1C3A4F05"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lastRenderedPageBreak/>
        <w:t>Que retenir :</w:t>
      </w:r>
    </w:p>
    <w:p w14:paraId="03F634AF" w14:textId="77777777" w:rsidR="002E1BBA" w:rsidRPr="002E1BBA" w:rsidRDefault="002E1BBA" w:rsidP="002E1BBA">
      <w:pPr>
        <w:numPr>
          <w:ilvl w:val="0"/>
          <w:numId w:val="7"/>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Lorsqu’une indemnité de logement est perçue par le bénéficiaire, ce montant doit être repris dans la déclaration.</w:t>
      </w:r>
    </w:p>
    <w:p w14:paraId="174FC417" w14:textId="77777777" w:rsidR="002E1BBA" w:rsidRPr="002E1BBA" w:rsidRDefault="002E1BBA" w:rsidP="002E1BBA">
      <w:pPr>
        <w:numPr>
          <w:ilvl w:val="0"/>
          <w:numId w:val="7"/>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Lorsqu’aucune indemnité de logement n’est payée, il faut déterminer la valeur de l’avantage de toute nature (voir ci-dessous point C).</w:t>
      </w:r>
    </w:p>
    <w:p w14:paraId="6A2267C4" w14:textId="77777777" w:rsidR="002E1BBA" w:rsidRPr="002E1BBA" w:rsidRDefault="002E1BBA" w:rsidP="002E1BBA">
      <w:pPr>
        <w:numPr>
          <w:ilvl w:val="0"/>
          <w:numId w:val="7"/>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Dans certains cas, le calcul de la valeur de l’avantage de toute nature peut être plus avantageux que la taxation sur l’indemnité de logement.  Il appartient au bénéficiaire de proposer cette approche à son contrôleur.</w:t>
      </w:r>
    </w:p>
    <w:p w14:paraId="44F3B9FF"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553345C6" w14:textId="77777777" w:rsidR="002E1BBA" w:rsidRPr="002E1BBA" w:rsidRDefault="002E1BBA" w:rsidP="002E1BBA">
      <w:pPr>
        <w:numPr>
          <w:ilvl w:val="0"/>
          <w:numId w:val="8"/>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b/>
          <w:bCs/>
          <w:color w:val="242424"/>
          <w:kern w:val="0"/>
          <w:sz w:val="22"/>
          <w:szCs w:val="22"/>
          <w:lang w:eastAsia="fr-BE"/>
          <w14:ligatures w14:val="none"/>
        </w:rPr>
        <w:t>Calcul de l’Avantage de toute nature (ATN)</w:t>
      </w:r>
    </w:p>
    <w:p w14:paraId="2B08AA7A"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0680D33B"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Il s’agit de définir la valeur de l’ATN résultant de la disposition gratuite d’une maison utilisée à des fins privées.</w:t>
      </w:r>
      <w:bookmarkStart w:id="0" w:name="x_x_m_-1152943562498613697_x__ftnref1"/>
      <w:bookmarkEnd w:id="0"/>
      <w:r w:rsidRPr="002E1BBA">
        <w:rPr>
          <w:rFonts w:ascii="Arial Nova" w:eastAsia="Times New Roman" w:hAnsi="Arial Nova" w:cs="Segoe UI"/>
          <w:color w:val="0563C1"/>
          <w:kern w:val="0"/>
          <w:sz w:val="23"/>
          <w:szCs w:val="23"/>
          <w:bdr w:val="none" w:sz="0" w:space="0" w:color="auto" w:frame="1"/>
          <w:lang w:eastAsia="fr-BE"/>
          <w14:ligatures w14:val="none"/>
        </w:rPr>
        <w:fldChar w:fldCharType="begin"/>
      </w:r>
      <w:r w:rsidRPr="002E1BBA">
        <w:rPr>
          <w:rFonts w:ascii="Arial Nova" w:eastAsia="Times New Roman" w:hAnsi="Arial Nova" w:cs="Segoe UI"/>
          <w:color w:val="0563C1"/>
          <w:kern w:val="0"/>
          <w:sz w:val="23"/>
          <w:szCs w:val="23"/>
          <w:bdr w:val="none" w:sz="0" w:space="0" w:color="auto" w:frame="1"/>
          <w:lang w:eastAsia="fr-BE"/>
          <w14:ligatures w14:val="none"/>
        </w:rPr>
        <w:instrText>HYPERLINK "https://outlook.office.com/mail/none/id/AAkALgAAAAAAHYQDEapmEc2byACqAC%2FEWg0ATaFVOUGHbka9vmTStT%2BEswAJxUDCTAAA?nativeVersion=1.2026.520.400" \l "x_m_-1152943562498613697_x__ftn1" \o "https://outlook.office.com/mail/none/id/AAkALgAAAAAAHYQDEapmEc2byACqAC%2FEWg0ATaFVOUGHbka9vmTStT%2BEswAJxUDCTAAA?nativeVersion=1.2026.520.400#x_m_-1152943562498613697_x__ftn1"</w:instrText>
      </w:r>
      <w:r w:rsidRPr="002E1BBA">
        <w:rPr>
          <w:rFonts w:ascii="Arial Nova" w:eastAsia="Times New Roman" w:hAnsi="Arial Nova" w:cs="Segoe UI"/>
          <w:color w:val="0563C1"/>
          <w:kern w:val="0"/>
          <w:sz w:val="23"/>
          <w:szCs w:val="23"/>
          <w:bdr w:val="none" w:sz="0" w:space="0" w:color="auto" w:frame="1"/>
          <w:lang w:eastAsia="fr-BE"/>
          <w14:ligatures w14:val="none"/>
        </w:rPr>
      </w:r>
      <w:r w:rsidRPr="002E1BBA">
        <w:rPr>
          <w:rFonts w:ascii="Arial Nova" w:eastAsia="Times New Roman" w:hAnsi="Arial Nova" w:cs="Segoe UI"/>
          <w:color w:val="0563C1"/>
          <w:kern w:val="0"/>
          <w:sz w:val="23"/>
          <w:szCs w:val="23"/>
          <w:bdr w:val="none" w:sz="0" w:space="0" w:color="auto" w:frame="1"/>
          <w:lang w:eastAsia="fr-BE"/>
          <w14:ligatures w14:val="none"/>
        </w:rPr>
        <w:fldChar w:fldCharType="separate"/>
      </w:r>
      <w:r w:rsidRPr="002E1BBA">
        <w:rPr>
          <w:rFonts w:ascii="Arial Nova" w:eastAsia="Times New Roman" w:hAnsi="Arial Nova" w:cs="Segoe UI"/>
          <w:color w:val="0563C1"/>
          <w:kern w:val="0"/>
          <w:sz w:val="23"/>
          <w:szCs w:val="23"/>
          <w:u w:val="single"/>
          <w:bdr w:val="none" w:sz="0" w:space="0" w:color="auto" w:frame="1"/>
          <w:lang w:eastAsia="fr-BE"/>
          <w14:ligatures w14:val="none"/>
        </w:rPr>
        <w:t>[1]</w:t>
      </w:r>
      <w:r w:rsidRPr="002E1BBA">
        <w:rPr>
          <w:rFonts w:ascii="Arial Nova" w:eastAsia="Times New Roman" w:hAnsi="Arial Nova" w:cs="Segoe UI"/>
          <w:color w:val="0563C1"/>
          <w:kern w:val="0"/>
          <w:sz w:val="23"/>
          <w:szCs w:val="23"/>
          <w:bdr w:val="none" w:sz="0" w:space="0" w:color="auto" w:frame="1"/>
          <w:lang w:eastAsia="fr-BE"/>
          <w14:ligatures w14:val="none"/>
        </w:rPr>
        <w:fldChar w:fldCharType="end"/>
      </w:r>
    </w:p>
    <w:p w14:paraId="173427CC"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46E77AC6"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Que retenir :</w:t>
      </w:r>
    </w:p>
    <w:p w14:paraId="395DEA94" w14:textId="77777777" w:rsidR="002E1BBA" w:rsidRPr="002E1BBA" w:rsidRDefault="002E1BBA" w:rsidP="002E1BBA">
      <w:pPr>
        <w:numPr>
          <w:ilvl w:val="0"/>
          <w:numId w:val="9"/>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Pour définir la quotité à usage privé, il faut mesurer la superficie utilisée à des fins privées par rapport à la superficie totale habitable du bien (superficie à usage privé/superficie totale).</w:t>
      </w:r>
    </w:p>
    <w:p w14:paraId="62FCF1C7"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1CD43A1C"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La quotité obtenue doit être multipliée au Revenu cadastral (RC) de base.</w:t>
      </w:r>
    </w:p>
    <w:p w14:paraId="14C5FD58"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0A94E327"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Le montant obtenu doit être multiplié par l’index, par 100/60 et par un coefficient de 2.</w:t>
      </w:r>
    </w:p>
    <w:p w14:paraId="0CDAFBE7"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47FE9141"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Que retenir :</w:t>
      </w:r>
    </w:p>
    <w:p w14:paraId="0C173745" w14:textId="77777777" w:rsidR="002E1BBA" w:rsidRPr="002E1BBA" w:rsidRDefault="002E1BBA" w:rsidP="002E1BBA">
      <w:pPr>
        <w:shd w:val="clear" w:color="auto" w:fill="FFFFFF"/>
        <w:spacing w:after="0" w:line="240" w:lineRule="auto"/>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71AFFE92" w14:textId="77777777" w:rsidR="002E1BBA" w:rsidRPr="002E1BBA" w:rsidRDefault="002E1BBA" w:rsidP="002E1BBA">
      <w:pPr>
        <w:numPr>
          <w:ilvl w:val="0"/>
          <w:numId w:val="10"/>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Définir le ratio superficie à usage privé/superficie totale,</w:t>
      </w:r>
    </w:p>
    <w:p w14:paraId="07C62333" w14:textId="77777777" w:rsidR="002E1BBA" w:rsidRPr="002E1BBA" w:rsidRDefault="002E1BBA" w:rsidP="002E1BBA">
      <w:pPr>
        <w:numPr>
          <w:ilvl w:val="0"/>
          <w:numId w:val="10"/>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Multiplier ce ratio au RC de base,</w:t>
      </w:r>
    </w:p>
    <w:p w14:paraId="57410E41" w14:textId="7DBCD86B" w:rsidR="002E1BBA" w:rsidRPr="002E1BBA" w:rsidRDefault="002E1BBA" w:rsidP="002E1BBA">
      <w:pPr>
        <w:numPr>
          <w:ilvl w:val="0"/>
          <w:numId w:val="10"/>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Multiplier le résultat obtenu par le coefficient d’indexation (</w:t>
      </w:r>
      <w:r w:rsidR="008E5EC8" w:rsidRPr="008E5EC8">
        <w:rPr>
          <w:rFonts w:ascii="Arial Nova" w:eastAsia="Times New Roman" w:hAnsi="Arial Nova" w:cs="Segoe UI"/>
          <w:color w:val="242424"/>
          <w:kern w:val="0"/>
          <w:sz w:val="22"/>
          <w:szCs w:val="22"/>
          <w:lang w:eastAsia="fr-BE"/>
          <w14:ligatures w14:val="none"/>
        </w:rPr>
        <w:t>2,2446</w:t>
      </w:r>
      <w:r w:rsidR="008E5EC8">
        <w:rPr>
          <w:rFonts w:ascii="Arial Nova" w:eastAsia="Times New Roman" w:hAnsi="Arial Nova" w:cs="Segoe UI"/>
          <w:color w:val="242424"/>
          <w:kern w:val="0"/>
          <w:sz w:val="22"/>
          <w:szCs w:val="22"/>
          <w:lang w:eastAsia="fr-BE"/>
          <w14:ligatures w14:val="none"/>
        </w:rPr>
        <w:t xml:space="preserve"> </w:t>
      </w:r>
      <w:r w:rsidRPr="002E1BBA">
        <w:rPr>
          <w:rFonts w:ascii="Arial Nova" w:eastAsia="Times New Roman" w:hAnsi="Arial Nova" w:cs="Segoe UI"/>
          <w:color w:val="242424"/>
          <w:kern w:val="0"/>
          <w:sz w:val="22"/>
          <w:szCs w:val="22"/>
          <w:lang w:eastAsia="fr-BE"/>
          <w14:ligatures w14:val="none"/>
        </w:rPr>
        <w:t>pour les revenus 2025, exercice d’imposition 2026)</w:t>
      </w:r>
    </w:p>
    <w:p w14:paraId="75CCAC53" w14:textId="77777777" w:rsidR="002E1BBA" w:rsidRPr="002E1BBA" w:rsidRDefault="002E1BBA" w:rsidP="002E1BBA">
      <w:pPr>
        <w:numPr>
          <w:ilvl w:val="0"/>
          <w:numId w:val="10"/>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Multiplier le résultat précédent par 100/60,</w:t>
      </w:r>
    </w:p>
    <w:p w14:paraId="47FBEEC1" w14:textId="77777777" w:rsidR="002E1BBA" w:rsidRPr="002E1BBA" w:rsidRDefault="002E1BBA" w:rsidP="002E1BBA">
      <w:pPr>
        <w:numPr>
          <w:ilvl w:val="0"/>
          <w:numId w:val="10"/>
        </w:numPr>
        <w:shd w:val="clear" w:color="auto" w:fill="FFFFFF"/>
        <w:spacing w:after="0" w:line="240" w:lineRule="auto"/>
        <w:rPr>
          <w:rFonts w:ascii="Arial Nova" w:eastAsia="Times New Roman" w:hAnsi="Arial Nova" w:cs="Segoe UI"/>
          <w:color w:val="242424"/>
          <w:kern w:val="0"/>
          <w:sz w:val="22"/>
          <w:szCs w:val="22"/>
          <w:lang w:eastAsia="fr-BE"/>
          <w14:ligatures w14:val="none"/>
        </w:rPr>
      </w:pPr>
      <w:r w:rsidRPr="002E1BBA">
        <w:rPr>
          <w:rFonts w:ascii="Arial Nova" w:eastAsia="Times New Roman" w:hAnsi="Arial Nova" w:cs="Segoe UI"/>
          <w:color w:val="242424"/>
          <w:kern w:val="0"/>
          <w:sz w:val="22"/>
          <w:szCs w:val="22"/>
          <w:lang w:eastAsia="fr-BE"/>
          <w14:ligatures w14:val="none"/>
        </w:rPr>
        <w:t>Multiplier le résultat précédent par 2</w:t>
      </w:r>
    </w:p>
    <w:p w14:paraId="27032CAB" w14:textId="77777777" w:rsidR="002E1BBA" w:rsidRPr="002E1BBA" w:rsidRDefault="002E1BBA" w:rsidP="002E1BBA">
      <w:pPr>
        <w:shd w:val="clear" w:color="auto" w:fill="FFFFFF"/>
        <w:spacing w:after="0" w:line="240" w:lineRule="auto"/>
        <w:ind w:left="1440"/>
        <w:jc w:val="both"/>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p w14:paraId="3FD56BB2" w14:textId="77777777" w:rsidR="002E1BBA" w:rsidRPr="002E1BBA" w:rsidRDefault="002E1BBA" w:rsidP="002E1BBA">
      <w:pPr>
        <w:shd w:val="clear" w:color="auto" w:fill="FFFFFF"/>
        <w:spacing w:after="0" w:line="240" w:lineRule="auto"/>
        <w:jc w:val="both"/>
        <w:textAlignment w:val="baseline"/>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23"/>
          <w:szCs w:val="23"/>
          <w:bdr w:val="none" w:sz="0" w:space="0" w:color="auto" w:frame="1"/>
          <w:lang w:eastAsia="fr-BE"/>
          <w14:ligatures w14:val="none"/>
        </w:rPr>
        <w:t> </w:t>
      </w:r>
    </w:p>
    <w:bookmarkStart w:id="1" w:name="x_x_m_-1152943562498613697_x__ftn1"/>
    <w:bookmarkEnd w:id="1"/>
    <w:p w14:paraId="799161C1" w14:textId="77777777" w:rsidR="002E1BBA" w:rsidRPr="002E1BBA" w:rsidRDefault="002E1BBA" w:rsidP="002E1BBA">
      <w:pPr>
        <w:shd w:val="clear" w:color="auto" w:fill="FFFFFF"/>
        <w:spacing w:after="0" w:line="240" w:lineRule="auto"/>
        <w:jc w:val="both"/>
        <w:textAlignment w:val="baseline"/>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0563C1"/>
          <w:kern w:val="0"/>
          <w:sz w:val="16"/>
          <w:szCs w:val="16"/>
          <w:bdr w:val="none" w:sz="0" w:space="0" w:color="auto" w:frame="1"/>
          <w:lang w:eastAsia="fr-BE"/>
          <w14:ligatures w14:val="none"/>
        </w:rPr>
        <w:fldChar w:fldCharType="begin"/>
      </w:r>
      <w:r w:rsidRPr="002E1BBA">
        <w:rPr>
          <w:rFonts w:ascii="Arial Nova" w:eastAsia="Times New Roman" w:hAnsi="Arial Nova" w:cs="Segoe UI"/>
          <w:color w:val="0563C1"/>
          <w:kern w:val="0"/>
          <w:sz w:val="16"/>
          <w:szCs w:val="16"/>
          <w:bdr w:val="none" w:sz="0" w:space="0" w:color="auto" w:frame="1"/>
          <w:lang w:eastAsia="fr-BE"/>
          <w14:ligatures w14:val="none"/>
        </w:rPr>
        <w:instrText>HYPERLINK "https://outlook.office.com/mail/none/id/AAkALgAAAAAAHYQDEapmEc2byACqAC%2FEWg0ATaFVOUGHbka9vmTStT%2BEswAJxUDCTAAA?nativeVersion=1.2026.520.400" \l "x_m_-1152943562498613697_x__ftnref1" \o "https://outlook.office.com/mail/none/id/AAkALgAAAAAAHYQDEapmEc2byACqAC%2FEWg0ATaFVOUGHbka9vmTStT%2BEswAJxUDCTAAA?nativeVersion=1.2026.520.400#x_m_-1152943562498613697_x__ftnref1"</w:instrText>
      </w:r>
      <w:r w:rsidRPr="002E1BBA">
        <w:rPr>
          <w:rFonts w:ascii="Arial Nova" w:eastAsia="Times New Roman" w:hAnsi="Arial Nova" w:cs="Segoe UI"/>
          <w:color w:val="0563C1"/>
          <w:kern w:val="0"/>
          <w:sz w:val="16"/>
          <w:szCs w:val="16"/>
          <w:bdr w:val="none" w:sz="0" w:space="0" w:color="auto" w:frame="1"/>
          <w:lang w:eastAsia="fr-BE"/>
          <w14:ligatures w14:val="none"/>
        </w:rPr>
      </w:r>
      <w:r w:rsidRPr="002E1BBA">
        <w:rPr>
          <w:rFonts w:ascii="Arial Nova" w:eastAsia="Times New Roman" w:hAnsi="Arial Nova" w:cs="Segoe UI"/>
          <w:color w:val="0563C1"/>
          <w:kern w:val="0"/>
          <w:sz w:val="16"/>
          <w:szCs w:val="16"/>
          <w:bdr w:val="none" w:sz="0" w:space="0" w:color="auto" w:frame="1"/>
          <w:lang w:eastAsia="fr-BE"/>
          <w14:ligatures w14:val="none"/>
        </w:rPr>
        <w:fldChar w:fldCharType="separate"/>
      </w:r>
      <w:r w:rsidRPr="002E1BBA">
        <w:rPr>
          <w:rFonts w:ascii="Arial Nova" w:eastAsia="Times New Roman" w:hAnsi="Arial Nova" w:cs="Segoe UI"/>
          <w:color w:val="0563C1"/>
          <w:kern w:val="0"/>
          <w:sz w:val="16"/>
          <w:szCs w:val="16"/>
          <w:u w:val="single"/>
          <w:bdr w:val="none" w:sz="0" w:space="0" w:color="auto" w:frame="1"/>
          <w:lang w:eastAsia="fr-BE"/>
          <w14:ligatures w14:val="none"/>
        </w:rPr>
        <w:t>[1]</w:t>
      </w:r>
      <w:r w:rsidRPr="002E1BBA">
        <w:rPr>
          <w:rFonts w:ascii="Arial Nova" w:eastAsia="Times New Roman" w:hAnsi="Arial Nova" w:cs="Segoe UI"/>
          <w:color w:val="0563C1"/>
          <w:kern w:val="0"/>
          <w:sz w:val="16"/>
          <w:szCs w:val="16"/>
          <w:bdr w:val="none" w:sz="0" w:space="0" w:color="auto" w:frame="1"/>
          <w:lang w:eastAsia="fr-BE"/>
          <w14:ligatures w14:val="none"/>
        </w:rPr>
        <w:fldChar w:fldCharType="end"/>
      </w:r>
      <w:r w:rsidRPr="002E1BBA">
        <w:rPr>
          <w:rFonts w:ascii="Arial Nova" w:eastAsia="Times New Roman" w:hAnsi="Arial Nova" w:cs="Segoe UI"/>
          <w:color w:val="242424"/>
          <w:kern w:val="0"/>
          <w:sz w:val="16"/>
          <w:szCs w:val="16"/>
          <w:bdr w:val="none" w:sz="0" w:space="0" w:color="auto" w:frame="1"/>
          <w:lang w:eastAsia="fr-BE"/>
          <w14:ligatures w14:val="none"/>
        </w:rPr>
        <w:t> Art. 18 du CIR 92 </w:t>
      </w:r>
      <w:r w:rsidRPr="002E1BBA">
        <w:rPr>
          <w:rFonts w:ascii="Arial Nova" w:eastAsia="Times New Roman" w:hAnsi="Arial Nova" w:cs="Segoe UI"/>
          <w:i/>
          <w:iCs/>
          <w:color w:val="242424"/>
          <w:kern w:val="0"/>
          <w:sz w:val="16"/>
          <w:szCs w:val="16"/>
          <w:bdr w:val="none" w:sz="0" w:space="0" w:color="auto" w:frame="1"/>
          <w:lang w:eastAsia="fr-BE"/>
          <w14:ligatures w14:val="none"/>
        </w:rPr>
        <w:t>« (…) toutefois, lorsqu’est imposée l’occupation d’un bien dont l’importance excède manifestement les besoins personnels de l’occupant compte tenu de sa situation sociale et de la composition de son ménage, on ne doit tenir compte, pour la détermination de l’avantage imposable, que du revenu cadastral d’un immeuble qui correspond aux besoins réels de l’occupant (…) »</w:t>
      </w:r>
    </w:p>
    <w:p w14:paraId="59601E00" w14:textId="77777777" w:rsidR="002E1BBA" w:rsidRPr="002E1BBA" w:rsidRDefault="002E1BBA" w:rsidP="002E1BBA">
      <w:pPr>
        <w:shd w:val="clear" w:color="auto" w:fill="FFFFFF"/>
        <w:spacing w:after="0" w:line="240" w:lineRule="auto"/>
        <w:jc w:val="both"/>
        <w:textAlignment w:val="baseline"/>
        <w:rPr>
          <w:rFonts w:ascii="Segoe UI" w:eastAsia="Times New Roman" w:hAnsi="Segoe UI" w:cs="Segoe UI"/>
          <w:color w:val="242424"/>
          <w:kern w:val="0"/>
          <w:sz w:val="23"/>
          <w:szCs w:val="23"/>
          <w:lang w:eastAsia="fr-BE"/>
          <w14:ligatures w14:val="none"/>
        </w:rPr>
      </w:pPr>
      <w:r w:rsidRPr="002E1BBA">
        <w:rPr>
          <w:rFonts w:ascii="Arial Nova" w:eastAsia="Times New Roman" w:hAnsi="Arial Nova" w:cs="Segoe UI"/>
          <w:color w:val="242424"/>
          <w:kern w:val="0"/>
          <w:sz w:val="16"/>
          <w:szCs w:val="16"/>
          <w:bdr w:val="none" w:sz="0" w:space="0" w:color="auto" w:frame="1"/>
          <w:lang w:eastAsia="fr-BE"/>
          <w14:ligatures w14:val="none"/>
        </w:rPr>
        <w:t xml:space="preserve">Le presbytère n’est pas que le logement du curé, il est aussi le lieu où se réunissent le conseil de fabrique et le bureau des marguilliers, où sont rangées les archives </w:t>
      </w:r>
      <w:proofErr w:type="spellStart"/>
      <w:r w:rsidRPr="002E1BBA">
        <w:rPr>
          <w:rFonts w:ascii="Arial Nova" w:eastAsia="Times New Roman" w:hAnsi="Arial Nova" w:cs="Segoe UI"/>
          <w:color w:val="242424"/>
          <w:kern w:val="0"/>
          <w:sz w:val="16"/>
          <w:szCs w:val="16"/>
          <w:bdr w:val="none" w:sz="0" w:space="0" w:color="auto" w:frame="1"/>
          <w:lang w:eastAsia="fr-BE"/>
          <w14:ligatures w14:val="none"/>
        </w:rPr>
        <w:t>fabriciennes</w:t>
      </w:r>
      <w:proofErr w:type="spellEnd"/>
      <w:r w:rsidRPr="002E1BBA">
        <w:rPr>
          <w:rFonts w:ascii="Arial Nova" w:eastAsia="Times New Roman" w:hAnsi="Arial Nova" w:cs="Segoe UI"/>
          <w:color w:val="242424"/>
          <w:kern w:val="0"/>
          <w:sz w:val="16"/>
          <w:szCs w:val="16"/>
          <w:bdr w:val="none" w:sz="0" w:space="0" w:color="auto" w:frame="1"/>
          <w:lang w:eastAsia="fr-BE"/>
          <w14:ligatures w14:val="none"/>
        </w:rPr>
        <w:t xml:space="preserve"> et paroissiales et où les paroissiens et le curé ont la possibilité de se rencontrer.</w:t>
      </w:r>
    </w:p>
    <w:p w14:paraId="15EC5038" w14:textId="77777777" w:rsidR="002E1BBA" w:rsidRDefault="002E1BBA"/>
    <w:sectPr w:rsidR="002E1B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ova">
    <w:panose1 w:val="020B0504020202020204"/>
    <w:charset w:val="00"/>
    <w:family w:val="swiss"/>
    <w:pitch w:val="variable"/>
    <w:sig w:usb0="2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C560A"/>
    <w:multiLevelType w:val="multilevel"/>
    <w:tmpl w:val="2E807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865B4"/>
    <w:multiLevelType w:val="multilevel"/>
    <w:tmpl w:val="09CA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934E59"/>
    <w:multiLevelType w:val="multilevel"/>
    <w:tmpl w:val="013C99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837023"/>
    <w:multiLevelType w:val="multilevel"/>
    <w:tmpl w:val="694292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8946A3"/>
    <w:multiLevelType w:val="multilevel"/>
    <w:tmpl w:val="417CA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E23829"/>
    <w:multiLevelType w:val="multilevel"/>
    <w:tmpl w:val="6042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5B2F3C"/>
    <w:multiLevelType w:val="multilevel"/>
    <w:tmpl w:val="867E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336222"/>
    <w:multiLevelType w:val="multilevel"/>
    <w:tmpl w:val="0D32A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3D18A3"/>
    <w:multiLevelType w:val="multilevel"/>
    <w:tmpl w:val="D556C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2B3C74"/>
    <w:multiLevelType w:val="multilevel"/>
    <w:tmpl w:val="B6E88D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002504">
    <w:abstractNumId w:val="6"/>
  </w:num>
  <w:num w:numId="2" w16cid:durableId="1371152144">
    <w:abstractNumId w:val="0"/>
  </w:num>
  <w:num w:numId="3" w16cid:durableId="1110708230">
    <w:abstractNumId w:val="5"/>
  </w:num>
  <w:num w:numId="4" w16cid:durableId="1809012916">
    <w:abstractNumId w:val="9"/>
  </w:num>
  <w:num w:numId="5" w16cid:durableId="1226524927">
    <w:abstractNumId w:val="4"/>
  </w:num>
  <w:num w:numId="6" w16cid:durableId="894243203">
    <w:abstractNumId w:val="2"/>
  </w:num>
  <w:num w:numId="7" w16cid:durableId="1322198839">
    <w:abstractNumId w:val="1"/>
  </w:num>
  <w:num w:numId="8" w16cid:durableId="13457172">
    <w:abstractNumId w:val="3"/>
  </w:num>
  <w:num w:numId="9" w16cid:durableId="809322583">
    <w:abstractNumId w:val="7"/>
  </w:num>
  <w:num w:numId="10" w16cid:durableId="8033544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BBA"/>
    <w:rsid w:val="002E1BBA"/>
    <w:rsid w:val="0037407F"/>
    <w:rsid w:val="00422B7D"/>
    <w:rsid w:val="008367E5"/>
    <w:rsid w:val="008E5EC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1DC73"/>
  <w15:chartTrackingRefBased/>
  <w15:docId w15:val="{69796101-4ECB-4107-90AE-31141435C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E1B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E1B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E1BB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E1BB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E1BB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E1BB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E1BB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E1BB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E1BB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1BB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E1BB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E1BB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E1BB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E1BB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E1BB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E1BB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E1BB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E1BBA"/>
    <w:rPr>
      <w:rFonts w:eastAsiaTheme="majorEastAsia" w:cstheme="majorBidi"/>
      <w:color w:val="272727" w:themeColor="text1" w:themeTint="D8"/>
    </w:rPr>
  </w:style>
  <w:style w:type="paragraph" w:styleId="Titre">
    <w:name w:val="Title"/>
    <w:basedOn w:val="Normal"/>
    <w:next w:val="Normal"/>
    <w:link w:val="TitreCar"/>
    <w:uiPriority w:val="10"/>
    <w:qFormat/>
    <w:rsid w:val="002E1B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E1BB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E1BB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E1BB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E1BBA"/>
    <w:pPr>
      <w:spacing w:before="160"/>
      <w:jc w:val="center"/>
    </w:pPr>
    <w:rPr>
      <w:i/>
      <w:iCs/>
      <w:color w:val="404040" w:themeColor="text1" w:themeTint="BF"/>
    </w:rPr>
  </w:style>
  <w:style w:type="character" w:customStyle="1" w:styleId="CitationCar">
    <w:name w:val="Citation Car"/>
    <w:basedOn w:val="Policepardfaut"/>
    <w:link w:val="Citation"/>
    <w:uiPriority w:val="29"/>
    <w:rsid w:val="002E1BBA"/>
    <w:rPr>
      <w:i/>
      <w:iCs/>
      <w:color w:val="404040" w:themeColor="text1" w:themeTint="BF"/>
    </w:rPr>
  </w:style>
  <w:style w:type="paragraph" w:styleId="Paragraphedeliste">
    <w:name w:val="List Paragraph"/>
    <w:basedOn w:val="Normal"/>
    <w:uiPriority w:val="34"/>
    <w:qFormat/>
    <w:rsid w:val="002E1BBA"/>
    <w:pPr>
      <w:ind w:left="720"/>
      <w:contextualSpacing/>
    </w:pPr>
  </w:style>
  <w:style w:type="character" w:styleId="Accentuationintense">
    <w:name w:val="Intense Emphasis"/>
    <w:basedOn w:val="Policepardfaut"/>
    <w:uiPriority w:val="21"/>
    <w:qFormat/>
    <w:rsid w:val="002E1BBA"/>
    <w:rPr>
      <w:i/>
      <w:iCs/>
      <w:color w:val="0F4761" w:themeColor="accent1" w:themeShade="BF"/>
    </w:rPr>
  </w:style>
  <w:style w:type="paragraph" w:styleId="Citationintense">
    <w:name w:val="Intense Quote"/>
    <w:basedOn w:val="Normal"/>
    <w:next w:val="Normal"/>
    <w:link w:val="CitationintenseCar"/>
    <w:uiPriority w:val="30"/>
    <w:qFormat/>
    <w:rsid w:val="002E1B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E1BBA"/>
    <w:rPr>
      <w:i/>
      <w:iCs/>
      <w:color w:val="0F4761" w:themeColor="accent1" w:themeShade="BF"/>
    </w:rPr>
  </w:style>
  <w:style w:type="character" w:styleId="Rfrenceintense">
    <w:name w:val="Intense Reference"/>
    <w:basedOn w:val="Policepardfaut"/>
    <w:uiPriority w:val="32"/>
    <w:qFormat/>
    <w:rsid w:val="002E1B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743</Words>
  <Characters>4087</Characters>
  <Application>Microsoft Office Word</Application>
  <DocSecurity>0</DocSecurity>
  <Lines>34</Lines>
  <Paragraphs>9</Paragraphs>
  <ScaleCrop>false</ScaleCrop>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 Tack</dc:creator>
  <cp:keywords/>
  <dc:description/>
  <cp:lastModifiedBy>France Tack</cp:lastModifiedBy>
  <cp:revision>3</cp:revision>
  <dcterms:created xsi:type="dcterms:W3CDTF">2026-06-08T06:29:00Z</dcterms:created>
  <dcterms:modified xsi:type="dcterms:W3CDTF">2026-07-01T09:18:00Z</dcterms:modified>
</cp:coreProperties>
</file>